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3D70" w14:textId="32204714" w:rsidR="00F96862" w:rsidRPr="00F96862" w:rsidRDefault="00F96862" w:rsidP="00F96862">
      <w:pPr>
        <w:shd w:val="clear" w:color="auto" w:fill="FFFFFF"/>
        <w:spacing w:after="0" w:line="240" w:lineRule="auto"/>
        <w:jc w:val="center"/>
        <w:outlineLvl w:val="0"/>
        <w:rPr>
          <w:rFonts w:ascii="Delivery" w:eastAsia="Times New Roman" w:hAnsi="Delivery" w:cs="Delivery"/>
          <w:b/>
          <w:bCs/>
          <w:color w:val="D40511"/>
          <w:kern w:val="36"/>
          <w:sz w:val="48"/>
          <w:szCs w:val="48"/>
          <w:lang w:eastAsia="cs-CZ"/>
        </w:rPr>
      </w:pPr>
      <w:r w:rsidRPr="00F96862">
        <w:rPr>
          <w:rFonts w:ascii="Delivery" w:eastAsia="Times New Roman" w:hAnsi="Delivery" w:cs="Delivery"/>
          <w:b/>
          <w:bCs/>
          <w:color w:val="D40511"/>
          <w:kern w:val="36"/>
          <w:sz w:val="48"/>
          <w:szCs w:val="48"/>
          <w:lang w:eastAsia="cs-CZ"/>
        </w:rPr>
        <w:t xml:space="preserve">PODMÍNKY </w:t>
      </w:r>
      <w:r w:rsidR="00444B31">
        <w:rPr>
          <w:rFonts w:ascii="Delivery" w:eastAsia="Times New Roman" w:hAnsi="Delivery" w:cs="Delivery"/>
          <w:b/>
          <w:bCs/>
          <w:color w:val="D40511"/>
          <w:kern w:val="36"/>
          <w:sz w:val="48"/>
          <w:szCs w:val="48"/>
          <w:lang w:eastAsia="cs-CZ"/>
        </w:rPr>
        <w:t>UŽÍVÁNÍ</w:t>
      </w:r>
    </w:p>
    <w:p w14:paraId="6E3A556D" w14:textId="1C6F1337" w:rsidR="00F96862" w:rsidRPr="00EE2E67" w:rsidRDefault="00F96862" w:rsidP="00F96862">
      <w:pPr>
        <w:shd w:val="clear" w:color="auto" w:fill="FFFFFF"/>
        <w:spacing w:beforeAutospacing="1" w:after="0" w:afterAutospacing="1" w:line="240" w:lineRule="auto"/>
        <w:jc w:val="both"/>
        <w:rPr>
          <w:rFonts w:ascii="Delivery" w:eastAsia="Times New Roman" w:hAnsi="Delivery" w:cs="Delivery"/>
          <w:b/>
          <w:bCs/>
          <w:color w:val="191919"/>
          <w:sz w:val="23"/>
          <w:szCs w:val="23"/>
          <w:lang w:eastAsia="cs-CZ"/>
        </w:rPr>
      </w:pPr>
      <w:r w:rsidRPr="00EE2E67">
        <w:rPr>
          <w:rFonts w:ascii="Delivery" w:eastAsia="Times New Roman" w:hAnsi="Delivery" w:cs="Delivery"/>
          <w:b/>
          <w:bCs/>
          <w:color w:val="191919"/>
          <w:sz w:val="23"/>
          <w:szCs w:val="23"/>
          <w:lang w:eastAsia="cs-CZ"/>
        </w:rPr>
        <w:t xml:space="preserve">Tyto Podmínky upravují smluvní vztah mezi PPL a uživatelem </w:t>
      </w:r>
      <w:r w:rsidR="00EE2E67" w:rsidRPr="00EE2E67">
        <w:rPr>
          <w:rFonts w:ascii="Delivery" w:eastAsia="Times New Roman" w:hAnsi="Delivery" w:cs="Delivery"/>
          <w:b/>
          <w:bCs/>
          <w:sz w:val="23"/>
          <w:szCs w:val="23"/>
        </w:rPr>
        <w:t>mobilní aplikace mojePPL</w:t>
      </w:r>
      <w:r w:rsidR="00EE2E67">
        <w:rPr>
          <w:rFonts w:ascii="Delivery" w:eastAsia="Times New Roman" w:hAnsi="Delivery" w:cs="Delivery"/>
          <w:b/>
          <w:bCs/>
          <w:sz w:val="23"/>
          <w:szCs w:val="23"/>
        </w:rPr>
        <w:t xml:space="preserve"> (dále také „Aplikace“ nebo „Aplikace mojePPL“)</w:t>
      </w:r>
    </w:p>
    <w:p w14:paraId="275781E7" w14:textId="64BEE5DB" w:rsidR="00673AFB" w:rsidRDefault="00F96862" w:rsidP="00F96862">
      <w:pPr>
        <w:shd w:val="clear" w:color="auto" w:fill="FFFFFF"/>
        <w:spacing w:beforeAutospacing="1" w:after="0" w:afterAutospacing="1" w:line="240" w:lineRule="auto"/>
        <w:jc w:val="both"/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</w:pP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Aplikace </w:t>
      </w:r>
      <w:r w:rsidR="00EE2E67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moje</w:t>
      </w:r>
      <w:r w:rsidR="00673AFB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PPL 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je softwarový nástroj pro </w:t>
      </w:r>
      <w:r w:rsidR="001911B4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přepravu Zásilek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, </w:t>
      </w:r>
      <w:r w:rsidR="0025469B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efektivní 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informování </w:t>
      </w:r>
      <w:r w:rsidR="0025469B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Odesílatele a Příjemce 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 o stavu Zásilky</w:t>
      </w:r>
      <w:r w:rsidR="0025469B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.</w:t>
      </w:r>
      <w:r w:rsidR="00537DDF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 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Uživatelem využívajícím Funkcionality Aplikace může být Odesílatel i Příjemce (dále jen „Uživatel“). Aplikace </w:t>
      </w:r>
      <w:r w:rsidR="00756EDC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moje</w:t>
      </w:r>
      <w:r w:rsidR="00673AFB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PPL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 je přístupná stažením z AppStore, nebo z Google Play a/nebo dalšími způsoby, o</w:t>
      </w:r>
      <w:r w:rsidR="00673AFB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 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kterých rozhodne </w:t>
      </w:r>
      <w:r w:rsidR="00673AFB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PPL.</w:t>
      </w:r>
    </w:p>
    <w:p w14:paraId="3C7D1EBC" w14:textId="686D6CEB" w:rsidR="00537DDF" w:rsidRDefault="00537DDF" w:rsidP="00F96862">
      <w:pPr>
        <w:shd w:val="clear" w:color="auto" w:fill="FFFFFF"/>
        <w:spacing w:beforeAutospacing="1" w:after="0" w:afterAutospacing="1" w:line="240" w:lineRule="auto"/>
        <w:jc w:val="both"/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</w:pPr>
      <w:r w:rsidRPr="00537DDF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Registrace Uživatele v Aplikaci je přijetím návrhu na uzavření smlouvy o poskytnutí licence k užívání Aplikace. Uzavřením smlouvy vyjadřuje Uživatel svůj souhlas s těmito Podmínkami</w:t>
      </w:r>
      <w:r w:rsidR="00444B31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 užívání.</w:t>
      </w:r>
      <w:r w:rsidRPr="00537DDF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 </w:t>
      </w:r>
      <w:r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PPL </w:t>
      </w:r>
      <w:r w:rsidRPr="00537DDF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uděluje Uživateli nevýhradní licenci k užívání Aplikace v rozsahu a za podmínek uvedených v uživatelském prostředí Aplikace. </w:t>
      </w:r>
      <w:r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PPL</w:t>
      </w:r>
      <w:r w:rsidRPr="00537DDF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 má právo kdykoliv Aplikaci (či její část) změnit, a v případě porušování smlouvy, Podmínek</w:t>
      </w:r>
      <w:r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 použití</w:t>
      </w:r>
      <w:r w:rsidRPr="00537DDF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 či právních předpisů Uživatelem pak Aplikaci znepřístupnit. Užívání Aplikace může Uživatel kdykoliv ukončit prostým odinstalováním Aplikace ze zařízení, kde je </w:t>
      </w:r>
      <w:r w:rsidR="00881A29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A</w:t>
      </w:r>
      <w:r w:rsidRPr="00537DDF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plikace stažena. Uživatel nemá nárok na jakoukoli náhradu ze strany </w:t>
      </w:r>
      <w:r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PPL</w:t>
      </w:r>
      <w:r w:rsidRPr="00537DDF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 v souvislosti užíváním a/nebo s odinstalováním </w:t>
      </w:r>
      <w:r w:rsidR="00881A29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A</w:t>
      </w:r>
      <w:r w:rsidRPr="00537DDF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plikace</w:t>
      </w:r>
      <w:r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.</w:t>
      </w:r>
    </w:p>
    <w:p w14:paraId="26443BEE" w14:textId="26C5BE31" w:rsidR="00F96862" w:rsidRDefault="00F96862" w:rsidP="00F96862">
      <w:pPr>
        <w:shd w:val="clear" w:color="auto" w:fill="FFFFFF"/>
        <w:spacing w:beforeAutospacing="1" w:after="0" w:afterAutospacing="1" w:line="240" w:lineRule="auto"/>
        <w:jc w:val="both"/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</w:pP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br/>
      </w:r>
      <w:r w:rsidRPr="00F96862">
        <w:rPr>
          <w:rFonts w:ascii="Delivery" w:eastAsia="Times New Roman" w:hAnsi="Delivery" w:cs="Delivery"/>
          <w:b/>
          <w:bCs/>
          <w:color w:val="191919"/>
          <w:sz w:val="23"/>
          <w:szCs w:val="23"/>
          <w:lang w:eastAsia="cs-CZ"/>
        </w:rPr>
        <w:t>Copyright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br/>
        <w:t xml:space="preserve">Autorská práva k této </w:t>
      </w:r>
      <w:r w:rsidR="00756EDC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A</w:t>
      </w:r>
      <w:r w:rsidR="001911B4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plikaci 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vlastní </w:t>
      </w:r>
      <w:r w:rsidR="001911B4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PPL a je rovněž provozovatelem.</w:t>
      </w:r>
    </w:p>
    <w:p w14:paraId="449FAE4E" w14:textId="3C179E57" w:rsidR="00F96862" w:rsidRPr="00F96862" w:rsidRDefault="00F96862" w:rsidP="00F96862">
      <w:pPr>
        <w:shd w:val="clear" w:color="auto" w:fill="FFFFFF"/>
        <w:spacing w:beforeAutospacing="1" w:after="0" w:afterAutospacing="1" w:line="240" w:lineRule="auto"/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</w:pPr>
      <w:r w:rsidRPr="00F96862">
        <w:rPr>
          <w:rFonts w:ascii="Delivery" w:eastAsia="Times New Roman" w:hAnsi="Delivery" w:cs="Delivery"/>
          <w:b/>
          <w:bCs/>
          <w:color w:val="191919"/>
          <w:sz w:val="23"/>
          <w:szCs w:val="23"/>
          <w:lang w:eastAsia="cs-CZ"/>
        </w:rPr>
        <w:t>Oprávnění</w:t>
      </w:r>
      <w:r w:rsidR="001911B4" w:rsidRPr="001911B4">
        <w:rPr>
          <w:rFonts w:ascii="Delivery" w:eastAsia="Times New Roman" w:hAnsi="Delivery" w:cs="Delivery"/>
          <w:b/>
          <w:bCs/>
          <w:color w:val="191919"/>
          <w:sz w:val="23"/>
          <w:szCs w:val="23"/>
          <w:lang w:eastAsia="cs-CZ"/>
        </w:rPr>
        <w:t xml:space="preserve"> </w:t>
      </w:r>
      <w:r w:rsidRPr="00F96862">
        <w:rPr>
          <w:rFonts w:ascii="Delivery" w:eastAsia="Times New Roman" w:hAnsi="Delivery" w:cs="Delivery"/>
          <w:b/>
          <w:bCs/>
          <w:color w:val="191919"/>
          <w:sz w:val="23"/>
          <w:szCs w:val="23"/>
          <w:lang w:eastAsia="cs-CZ"/>
        </w:rPr>
        <w:t>k reprodukci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br/>
        <w:t xml:space="preserve">Jakákoli osoba může reprodukovat jakoukoli část materiálu </w:t>
      </w:r>
      <w:r w:rsidR="00673AFB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této </w:t>
      </w:r>
      <w:r w:rsidR="00EE2E67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Aplikace</w:t>
      </w:r>
      <w:r w:rsidR="00673AFB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 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za následujících podmínek:</w:t>
      </w:r>
    </w:p>
    <w:p w14:paraId="3CEEBE27" w14:textId="77777777" w:rsidR="00F96862" w:rsidRPr="00F96862" w:rsidRDefault="00F96862" w:rsidP="00F9686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Delivery" w:eastAsia="Times New Roman" w:hAnsi="Delivery" w:cs="Delivery"/>
          <w:color w:val="D40511"/>
          <w:sz w:val="23"/>
          <w:szCs w:val="23"/>
          <w:lang w:eastAsia="cs-CZ"/>
        </w:rPr>
      </w:pP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Materiál může být použit pouze pro informační a nekomerční účely.</w:t>
      </w:r>
    </w:p>
    <w:p w14:paraId="4B079864" w14:textId="77777777" w:rsidR="00D4487A" w:rsidRDefault="00F96862" w:rsidP="00D4487A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Delivery" w:eastAsia="Times New Roman" w:hAnsi="Delivery" w:cs="Delivery"/>
          <w:color w:val="D40511"/>
          <w:sz w:val="23"/>
          <w:szCs w:val="23"/>
          <w:lang w:eastAsia="cs-CZ"/>
        </w:rPr>
      </w:pP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Nesmí být žádným způsobem upravován.</w:t>
      </w:r>
    </w:p>
    <w:p w14:paraId="3591DF04" w14:textId="6DC8CA59" w:rsidR="006C79CB" w:rsidRPr="00D4487A" w:rsidRDefault="00D4487A" w:rsidP="00D4487A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Delivery" w:eastAsia="Times New Roman" w:hAnsi="Delivery" w:cs="Delivery"/>
          <w:color w:val="D40511"/>
          <w:sz w:val="23"/>
          <w:szCs w:val="23"/>
          <w:lang w:eastAsia="cs-CZ"/>
        </w:rPr>
      </w:pPr>
      <w:r w:rsidRPr="00D4487A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Žádná ochranná známka PPL není neoprávněně kopírována.</w:t>
      </w:r>
    </w:p>
    <w:p w14:paraId="1C60E10F" w14:textId="47DA99E8" w:rsidR="00CA4A17" w:rsidRPr="00CA4A17" w:rsidRDefault="00F96862" w:rsidP="006C79CB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rPr>
          <w:rFonts w:ascii="Delivery" w:eastAsia="Times New Roman" w:hAnsi="Delivery" w:cs="Delivery"/>
          <w:color w:val="D40511"/>
          <w:sz w:val="23"/>
          <w:szCs w:val="23"/>
          <w:lang w:eastAsia="cs-CZ"/>
        </w:rPr>
      </w:pP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Jakákoli kopie jakékoli části materiálu musí obsahovat následující upozornění na autorská práva:</w:t>
      </w:r>
      <w:r w:rsidR="006C79CB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 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Copyright © </w:t>
      </w:r>
      <w:r w:rsidR="00673AFB" w:rsidRPr="006C79CB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PPL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. Všechna práva vyhrazena.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br/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br/>
      </w:r>
      <w:r w:rsidRPr="00F96862">
        <w:rPr>
          <w:rFonts w:ascii="Delivery" w:eastAsia="Times New Roman" w:hAnsi="Delivery" w:cs="Delivery"/>
          <w:b/>
          <w:bCs/>
          <w:color w:val="191919"/>
          <w:sz w:val="23"/>
          <w:szCs w:val="23"/>
          <w:lang w:eastAsia="cs-CZ"/>
        </w:rPr>
        <w:t>Používání interaktivních funkcí na těchto stránkách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br/>
        <w:t xml:space="preserve">Pro vaše pohodlí může </w:t>
      </w:r>
      <w:r w:rsidR="00673AFB" w:rsidRPr="006C79CB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PPL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 na těchto stránkách poskytovat interaktivní funkce, jako je přístup ke sledování a komentářům uživatelů. Jste oprávněni používat tyto funkce výhradně pro uvedené účely</w:t>
      </w:r>
      <w:r w:rsidR="00C40F28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.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br/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br/>
      </w:r>
      <w:r w:rsidRPr="00F96862">
        <w:rPr>
          <w:rFonts w:ascii="Delivery" w:eastAsia="Times New Roman" w:hAnsi="Delivery" w:cs="Delivery"/>
          <w:b/>
          <w:bCs/>
          <w:color w:val="191919"/>
          <w:sz w:val="23"/>
          <w:szCs w:val="23"/>
          <w:lang w:eastAsia="cs-CZ"/>
        </w:rPr>
        <w:t xml:space="preserve">Přesnost </w:t>
      </w:r>
      <w:r w:rsidR="00673AFB" w:rsidRPr="006C79CB">
        <w:rPr>
          <w:rFonts w:ascii="Delivery" w:eastAsia="Times New Roman" w:hAnsi="Delivery" w:cs="Delivery"/>
          <w:b/>
          <w:bCs/>
          <w:color w:val="191919"/>
          <w:sz w:val="23"/>
          <w:szCs w:val="23"/>
          <w:lang w:eastAsia="cs-CZ"/>
        </w:rPr>
        <w:t xml:space="preserve">této </w:t>
      </w:r>
      <w:r w:rsidR="002E28B0">
        <w:rPr>
          <w:rFonts w:ascii="Delivery" w:eastAsia="Times New Roman" w:hAnsi="Delivery" w:cs="Delivery"/>
          <w:b/>
          <w:bCs/>
          <w:color w:val="191919"/>
          <w:sz w:val="23"/>
          <w:szCs w:val="23"/>
          <w:lang w:eastAsia="cs-CZ"/>
        </w:rPr>
        <w:t>A</w:t>
      </w:r>
      <w:r w:rsidR="00673AFB" w:rsidRPr="006C79CB">
        <w:rPr>
          <w:rFonts w:ascii="Delivery" w:eastAsia="Times New Roman" w:hAnsi="Delivery" w:cs="Delivery"/>
          <w:b/>
          <w:bCs/>
          <w:color w:val="191919"/>
          <w:sz w:val="23"/>
          <w:szCs w:val="23"/>
          <w:lang w:eastAsia="cs-CZ"/>
        </w:rPr>
        <w:t>plikace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br/>
      </w:r>
      <w:r w:rsidR="00673AFB" w:rsidRPr="006C79CB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Tato </w:t>
      </w:r>
      <w:r w:rsidR="00756EDC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A</w:t>
      </w:r>
      <w:r w:rsidR="00673AFB" w:rsidRPr="006C79CB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plikace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 m</w:t>
      </w:r>
      <w:r w:rsidR="00673AFB" w:rsidRPr="006C79CB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ůže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 obsahovat neúmyslné nepřesnosti nebo typografické chyby. Ty</w:t>
      </w:r>
      <w:r w:rsidR="00673AFB" w:rsidRPr="006C79CB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 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budou opraveny podle uvážení </w:t>
      </w:r>
      <w:r w:rsidR="00673AFB" w:rsidRPr="006C79CB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PPL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, jakmile budou nalezeny. Informace </w:t>
      </w:r>
      <w:r w:rsidR="00673AFB" w:rsidRPr="006C79CB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v této </w:t>
      </w:r>
      <w:r w:rsidR="00756EDC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A</w:t>
      </w:r>
      <w:r w:rsidR="00673AFB" w:rsidRPr="006C79CB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plikaci 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 jsou pravidelně aktualizovány, </w:t>
      </w:r>
      <w:r w:rsidR="00756EDC" w:rsidRPr="00756EDC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ale nepřesnosti mohou přetrvávat nebo se vyskytnout v případech, kdy mezi aktualizacemi dojde ke změnám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. Internet je udržován nezávisle na více místech po celém světě a některé informace přístupné prostřednictvím </w:t>
      </w:r>
      <w:r w:rsidR="00673AFB" w:rsidRPr="006C79CB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této </w:t>
      </w:r>
      <w:r w:rsidR="00756EDC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A</w:t>
      </w:r>
      <w:r w:rsidR="00673AFB" w:rsidRPr="006C79CB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plikace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 m</w:t>
      </w:r>
      <w:r w:rsidR="00673AFB" w:rsidRPr="006C79CB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ůže 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pocházet mimo </w:t>
      </w:r>
      <w:r w:rsidR="00673AFB" w:rsidRPr="006C79CB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PPL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. </w:t>
      </w:r>
      <w:r w:rsidR="00673AFB" w:rsidRPr="006C79CB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PPL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 vylučuje jak</w:t>
      </w:r>
      <w:r w:rsidR="00756EDC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ékoli závazky 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nebo odpovědnost za tento obsah.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br/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br/>
      </w:r>
    </w:p>
    <w:p w14:paraId="0FBA977A" w14:textId="17E87553" w:rsidR="00673AFB" w:rsidRPr="006C79CB" w:rsidRDefault="00F96862" w:rsidP="00CA4A17">
      <w:pPr>
        <w:shd w:val="clear" w:color="auto" w:fill="FFFFFF"/>
        <w:spacing w:beforeAutospacing="1" w:after="0" w:afterAutospacing="1" w:line="240" w:lineRule="auto"/>
        <w:rPr>
          <w:rFonts w:ascii="Delivery" w:eastAsia="Times New Roman" w:hAnsi="Delivery" w:cs="Delivery"/>
          <w:color w:val="D40511"/>
          <w:sz w:val="23"/>
          <w:szCs w:val="23"/>
          <w:lang w:eastAsia="cs-CZ"/>
        </w:rPr>
      </w:pPr>
      <w:r w:rsidRPr="00F96862">
        <w:rPr>
          <w:rFonts w:ascii="Delivery" w:eastAsia="Times New Roman" w:hAnsi="Delivery" w:cs="Delivery"/>
          <w:b/>
          <w:bCs/>
          <w:color w:val="191919"/>
          <w:sz w:val="23"/>
          <w:szCs w:val="23"/>
          <w:lang w:eastAsia="cs-CZ"/>
        </w:rPr>
        <w:lastRenderedPageBreak/>
        <w:t>Viry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br/>
      </w:r>
      <w:r w:rsidR="00F405C1" w:rsidRPr="00F405C1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Společnost </w:t>
      </w:r>
      <w:r w:rsidR="00F405C1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PPL</w:t>
      </w:r>
      <w:r w:rsidR="00F405C1" w:rsidRPr="00F405C1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 se snaží vyloučit výskyt virů </w:t>
      </w:r>
      <w:r w:rsidR="00F405C1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v</w:t>
      </w:r>
      <w:r w:rsidR="00344406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 </w:t>
      </w:r>
      <w:r w:rsidR="00F405C1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této</w:t>
      </w:r>
      <w:r w:rsidR="00344406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 Aplikaci </w:t>
      </w:r>
      <w:r w:rsidR="00F405C1" w:rsidRPr="00F405C1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, ale toto vyloučení nemůže </w:t>
      </w:r>
      <w:r w:rsidR="00F405C1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vždy a zcela </w:t>
      </w:r>
      <w:r w:rsidR="00F405C1" w:rsidRPr="00F405C1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zajistit a za </w:t>
      </w:r>
      <w:r w:rsidR="00F405C1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tyto </w:t>
      </w:r>
      <w:r w:rsidR="00F405C1" w:rsidRPr="00F405C1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viry nenese žádnou odpovědnost. Před stažením informací z</w:t>
      </w:r>
      <w:r w:rsidR="00F405C1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 </w:t>
      </w:r>
      <w:r w:rsidR="00F405C1" w:rsidRPr="00F405C1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t</w:t>
      </w:r>
      <w:r w:rsidR="00F405C1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éto </w:t>
      </w:r>
      <w:r w:rsidR="00344406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A</w:t>
      </w:r>
      <w:r w:rsidR="00F405C1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plikace </w:t>
      </w:r>
      <w:r w:rsidR="00F405C1" w:rsidRPr="00F405C1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prosím přijměte veškerá vhodná bezpečnostní opatření.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br/>
      </w:r>
    </w:p>
    <w:p w14:paraId="0451DC32" w14:textId="25D62196" w:rsidR="00F96862" w:rsidRDefault="00F96862" w:rsidP="00F96862">
      <w:pPr>
        <w:shd w:val="clear" w:color="auto" w:fill="FFFFFF"/>
        <w:spacing w:beforeAutospacing="1" w:after="0" w:afterAutospacing="1" w:line="240" w:lineRule="auto"/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</w:pP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br/>
      </w:r>
      <w:r w:rsidRPr="00F96862">
        <w:rPr>
          <w:rFonts w:ascii="Delivery" w:eastAsia="Times New Roman" w:hAnsi="Delivery" w:cs="Delivery"/>
          <w:b/>
          <w:bCs/>
          <w:color w:val="191919"/>
          <w:sz w:val="23"/>
          <w:szCs w:val="23"/>
          <w:lang w:eastAsia="cs-CZ"/>
        </w:rPr>
        <w:t>Omezení odpovědnosti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br/>
        <w:t xml:space="preserve">V rozsahu povoleném zákonem společnost </w:t>
      </w:r>
      <w:r w:rsidR="00760023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PPL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, její přidružené společnosti nebo poskytovatelé licencí ani žádné třetí strany uvedené </w:t>
      </w:r>
      <w:r w:rsidR="00760023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v </w:t>
      </w:r>
      <w:r w:rsidR="006C005B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A</w:t>
      </w:r>
      <w:r w:rsidR="00760023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plikaci 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 v žádném případě nenesou odpovědnost za jakékoli náhodné, nepřímé, exemplární, represivní a následné škody, ušlý zisk nebo škody vyplývající ze ztráty dat nebo přerušení podnikání v důsledku používání nebo nemožnosti používat </w:t>
      </w:r>
      <w:r w:rsidR="002E28B0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A</w:t>
      </w:r>
      <w:r w:rsidR="00760023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plikaci</w:t>
      </w:r>
      <w:r w:rsidR="006C005B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 mojePPL </w:t>
      </w:r>
      <w:r w:rsidR="00760023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 a 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 služby, obsah nebo informace, ať už jsou založeny na záruce, smlouvě, občanskoprávním deliktu nebo jakékoli jiné právní teorii, a zda je společnost </w:t>
      </w:r>
      <w:r w:rsidR="00760023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PPL 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upozorněna na možnost vzniku takových škod. Aniž byste omezili výše uvedené, v rozsahu povoleném platnými právními předpisy souhlasíte s tím, že celková odpovědnost společnosti </w:t>
      </w:r>
      <w:r w:rsidR="00760023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PPL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 za jakékoli škody (přímé nebo jiné) nebo ztráty bez ohledu na formu žaloby nebo nároku, ať už na základě smlouvy, deliktu nebo jinak, v žádném případě nepřekročí 100,00 EUR. V rozsahu povoleném zákonem jsou opravné prostředky uvedené pro vás v těchto podmínkách výhradní a jsou omezeny na ty, které jsou výslovně uvedeny v těchto </w:t>
      </w:r>
      <w:r w:rsidR="006C005B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P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odmínkách.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br/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br/>
      </w:r>
      <w:r w:rsidRPr="00F96862">
        <w:rPr>
          <w:rFonts w:ascii="Delivery" w:eastAsia="Times New Roman" w:hAnsi="Delivery" w:cs="Delivery"/>
          <w:b/>
          <w:bCs/>
          <w:color w:val="191919"/>
          <w:sz w:val="23"/>
          <w:szCs w:val="23"/>
          <w:lang w:eastAsia="cs-CZ"/>
        </w:rPr>
        <w:t>Produkty a služby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br/>
        <w:t xml:space="preserve">Pokud není písemně dohodnuto jinak, přepravní produkty a služby uvedené </w:t>
      </w:r>
      <w:r w:rsidR="009C70EE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v této </w:t>
      </w:r>
      <w:r w:rsidR="006C005B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A</w:t>
      </w:r>
      <w:r w:rsidR="009C70EE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plikaci 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 podléhají </w:t>
      </w:r>
      <w:hyperlink r:id="rId7" w:history="1">
        <w:r w:rsidR="00A35CC2" w:rsidRPr="004027A2">
          <w:rPr>
            <w:rStyle w:val="Hypertextovodkaz"/>
            <w:rFonts w:ascii="Delivery" w:eastAsia="Times New Roman" w:hAnsi="Delivery" w:cs="Delivery"/>
            <w:sz w:val="23"/>
            <w:szCs w:val="23"/>
            <w:lang w:eastAsia="cs-CZ"/>
          </w:rPr>
          <w:t>všeobecným obchodním podmínkám PPL</w:t>
        </w:r>
      </w:hyperlink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.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br/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br/>
      </w:r>
      <w:r w:rsidRPr="00F96862">
        <w:rPr>
          <w:rFonts w:ascii="Delivery" w:eastAsia="Times New Roman" w:hAnsi="Delivery" w:cs="Delivery"/>
          <w:b/>
          <w:bCs/>
          <w:color w:val="191919"/>
          <w:sz w:val="23"/>
          <w:szCs w:val="23"/>
          <w:lang w:eastAsia="cs-CZ"/>
        </w:rPr>
        <w:t>Zveřejnění informací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br/>
        <w:t>Veškeré informace poskytnuté</w:t>
      </w:r>
      <w:r w:rsidR="00760023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 PPL 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návštěvníky </w:t>
      </w:r>
      <w:r w:rsidR="00760023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této </w:t>
      </w:r>
      <w:r w:rsidR="006C005B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A</w:t>
      </w:r>
      <w:r w:rsidR="00760023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>plikace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 jsou považovány za důvěrné a </w:t>
      </w:r>
      <w:r w:rsidR="00760023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PPL </w:t>
      </w:r>
      <w:r w:rsidRPr="00F96862"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 je nezveřejní žádné třetí straně, s výjimkou případů, kdy to může být vyžadováno pro poskytování služeb.</w:t>
      </w:r>
    </w:p>
    <w:p w14:paraId="22D33BC1" w14:textId="6B281BA3" w:rsidR="004027A2" w:rsidRPr="00F96862" w:rsidRDefault="004027A2" w:rsidP="00F96862">
      <w:pPr>
        <w:shd w:val="clear" w:color="auto" w:fill="FFFFFF"/>
        <w:spacing w:beforeAutospacing="1" w:after="0" w:afterAutospacing="1" w:line="240" w:lineRule="auto"/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</w:pPr>
      <w:r>
        <w:rPr>
          <w:rFonts w:ascii="Delivery" w:eastAsia="Times New Roman" w:hAnsi="Delivery" w:cs="Delivery"/>
          <w:color w:val="191919"/>
          <w:sz w:val="23"/>
          <w:szCs w:val="23"/>
          <w:lang w:eastAsia="cs-CZ"/>
        </w:rPr>
        <w:t xml:space="preserve">Zásady zpracování osobních údajů naleznete </w:t>
      </w:r>
      <w:hyperlink r:id="rId8" w:history="1">
        <w:r w:rsidRPr="004027A2">
          <w:rPr>
            <w:rStyle w:val="Hypertextovodkaz"/>
            <w:rFonts w:ascii="Delivery" w:eastAsia="Times New Roman" w:hAnsi="Delivery" w:cs="Delivery"/>
            <w:sz w:val="23"/>
            <w:szCs w:val="23"/>
            <w:lang w:eastAsia="cs-CZ"/>
          </w:rPr>
          <w:t>zde</w:t>
        </w:r>
      </w:hyperlink>
    </w:p>
    <w:p w14:paraId="22E2281B" w14:textId="77777777" w:rsidR="003D7248" w:rsidRDefault="004027A2"/>
    <w:sectPr w:rsidR="003D7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0E39" w14:textId="77777777" w:rsidR="00BF402A" w:rsidRDefault="00BF402A" w:rsidP="0074682D">
      <w:pPr>
        <w:spacing w:after="0" w:line="240" w:lineRule="auto"/>
      </w:pPr>
      <w:r>
        <w:separator/>
      </w:r>
    </w:p>
  </w:endnote>
  <w:endnote w:type="continuationSeparator" w:id="0">
    <w:p w14:paraId="22D78988" w14:textId="77777777" w:rsidR="00BF402A" w:rsidRDefault="00BF402A" w:rsidP="0074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livery">
    <w:panose1 w:val="020F0503020204020204"/>
    <w:charset w:val="EE"/>
    <w:family w:val="swiss"/>
    <w:pitch w:val="variable"/>
    <w:sig w:usb0="A10006EF" w:usb1="4200E06B" w:usb2="00000028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4CA47" w14:textId="77777777" w:rsidR="00BF402A" w:rsidRDefault="00BF402A" w:rsidP="0074682D">
      <w:pPr>
        <w:spacing w:after="0" w:line="240" w:lineRule="auto"/>
      </w:pPr>
      <w:r>
        <w:separator/>
      </w:r>
    </w:p>
  </w:footnote>
  <w:footnote w:type="continuationSeparator" w:id="0">
    <w:p w14:paraId="76C3018B" w14:textId="77777777" w:rsidR="00BF402A" w:rsidRDefault="00BF402A" w:rsidP="00746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F4D90"/>
    <w:multiLevelType w:val="multilevel"/>
    <w:tmpl w:val="813A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62"/>
    <w:rsid w:val="000B3379"/>
    <w:rsid w:val="001911B4"/>
    <w:rsid w:val="001B6BE6"/>
    <w:rsid w:val="00220BA1"/>
    <w:rsid w:val="0025469B"/>
    <w:rsid w:val="002E28B0"/>
    <w:rsid w:val="00344406"/>
    <w:rsid w:val="003A6EBB"/>
    <w:rsid w:val="003E6C50"/>
    <w:rsid w:val="004027A2"/>
    <w:rsid w:val="004434BA"/>
    <w:rsid w:val="00444B31"/>
    <w:rsid w:val="0050578F"/>
    <w:rsid w:val="0053045C"/>
    <w:rsid w:val="00537DDF"/>
    <w:rsid w:val="005B570B"/>
    <w:rsid w:val="00673AFB"/>
    <w:rsid w:val="006B2BE4"/>
    <w:rsid w:val="006C005B"/>
    <w:rsid w:val="006C46C3"/>
    <w:rsid w:val="006C79CB"/>
    <w:rsid w:val="0074682D"/>
    <w:rsid w:val="00756EDC"/>
    <w:rsid w:val="00760023"/>
    <w:rsid w:val="00827415"/>
    <w:rsid w:val="00881A29"/>
    <w:rsid w:val="00896A8E"/>
    <w:rsid w:val="009365FE"/>
    <w:rsid w:val="009C70EE"/>
    <w:rsid w:val="00A35CC2"/>
    <w:rsid w:val="00A51E78"/>
    <w:rsid w:val="00BF402A"/>
    <w:rsid w:val="00C40F28"/>
    <w:rsid w:val="00CA4A17"/>
    <w:rsid w:val="00D4487A"/>
    <w:rsid w:val="00E0648A"/>
    <w:rsid w:val="00E73459"/>
    <w:rsid w:val="00ED6C2D"/>
    <w:rsid w:val="00EE2E67"/>
    <w:rsid w:val="00F26BA9"/>
    <w:rsid w:val="00F405C1"/>
    <w:rsid w:val="00F9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945FAC"/>
  <w15:chartTrackingRefBased/>
  <w15:docId w15:val="{99BF7BA8-9303-446F-A2D5-6A76EFF8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027A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2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.ppl.cz/osobni-udaje" TargetMode="External"/><Relationship Id="rId3" Type="http://schemas.openxmlformats.org/officeDocument/2006/relationships/settings" Target="settings.xml"/><Relationship Id="rId7" Type="http://schemas.openxmlformats.org/officeDocument/2006/relationships/hyperlink" Target="ppl.cz/documents/20122/1825980/PPL_CZ_obchodni_podminky.pdf/80b8645c-14e6-e5ce-b9ca-06c60a9c8239?t=16492650921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642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Ondraskova (DHL CZ)</dc:creator>
  <cp:keywords/>
  <dc:description/>
  <cp:lastModifiedBy>David Benda (PPL CZ)</cp:lastModifiedBy>
  <cp:revision>24</cp:revision>
  <dcterms:created xsi:type="dcterms:W3CDTF">2022-09-05T06:39:00Z</dcterms:created>
  <dcterms:modified xsi:type="dcterms:W3CDTF">2022-10-11T10:09:00Z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2022-10-11T10:09:13Z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93fa6291-8f15-4bc9-ad2f-47a236845319</vt:lpwstr>
  </property>
  <property fmtid="{D5CDD505-2E9C-101B-9397-08002B2CF9AE}" pid="8" name="MSIP_Label_736915f3-2f02-4945-8997-f2963298db46_ContentBits">
    <vt:lpwstr>1</vt:lpwstr>
  </property>
</Properties>
</file>